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6E" w:rsidRPr="00F46E74" w:rsidRDefault="004C636E" w:rsidP="009140C1">
      <w:pPr>
        <w:jc w:val="center"/>
        <w:rPr>
          <w:rFonts w:asciiTheme="majorHAnsi" w:hAnsiTheme="majorHAnsi"/>
          <w:b/>
          <w:sz w:val="28"/>
        </w:rPr>
      </w:pPr>
      <w:r w:rsidRPr="00F46E74">
        <w:rPr>
          <w:rFonts w:asciiTheme="majorHAnsi" w:hAnsiTheme="majorHAnsi"/>
          <w:b/>
          <w:sz w:val="28"/>
        </w:rPr>
        <w:t>Crawley Friends Housing Association Limited (CFHA Ltd)</w:t>
      </w:r>
    </w:p>
    <w:p w:rsidR="00E50555" w:rsidRPr="00F46E74" w:rsidRDefault="004C636E" w:rsidP="009140C1">
      <w:pPr>
        <w:jc w:val="center"/>
        <w:rPr>
          <w:rFonts w:asciiTheme="majorHAnsi" w:hAnsiTheme="majorHAnsi"/>
          <w:b/>
          <w:sz w:val="28"/>
        </w:rPr>
      </w:pPr>
      <w:proofErr w:type="gramStart"/>
      <w:r w:rsidRPr="00F46E74">
        <w:rPr>
          <w:rFonts w:asciiTheme="majorHAnsi" w:hAnsiTheme="majorHAnsi"/>
          <w:b/>
          <w:sz w:val="28"/>
        </w:rPr>
        <w:t>c/o</w:t>
      </w:r>
      <w:proofErr w:type="gramEnd"/>
      <w:r w:rsidRPr="00F46E74">
        <w:rPr>
          <w:rFonts w:asciiTheme="majorHAnsi" w:hAnsiTheme="majorHAnsi"/>
          <w:b/>
          <w:sz w:val="28"/>
        </w:rPr>
        <w:t xml:space="preserve"> </w:t>
      </w:r>
      <w:proofErr w:type="spellStart"/>
      <w:r w:rsidR="00E50555" w:rsidRPr="00F46E74">
        <w:rPr>
          <w:rFonts w:asciiTheme="majorHAnsi" w:hAnsiTheme="majorHAnsi"/>
          <w:b/>
          <w:sz w:val="28"/>
        </w:rPr>
        <w:t>Camfield</w:t>
      </w:r>
      <w:proofErr w:type="spellEnd"/>
      <w:r w:rsidR="00E50555" w:rsidRPr="00F46E74">
        <w:rPr>
          <w:rFonts w:asciiTheme="majorHAnsi" w:hAnsiTheme="majorHAnsi"/>
          <w:b/>
          <w:sz w:val="28"/>
        </w:rPr>
        <w:t>, Langley Lane, Ifield, Crawley, RH11 0NB</w:t>
      </w:r>
    </w:p>
    <w:p w:rsidR="00E50555" w:rsidRPr="00F46E74" w:rsidRDefault="00E50555" w:rsidP="009140C1">
      <w:pPr>
        <w:jc w:val="center"/>
        <w:rPr>
          <w:rFonts w:asciiTheme="majorHAnsi" w:hAnsiTheme="majorHAnsi"/>
        </w:rPr>
      </w:pPr>
      <w:r w:rsidRPr="00F46E74">
        <w:rPr>
          <w:rFonts w:asciiTheme="majorHAnsi" w:hAnsiTheme="majorHAnsi"/>
        </w:rPr>
        <w:t xml:space="preserve">Exempt charity registered under the </w:t>
      </w:r>
      <w:r w:rsidR="007B67A0" w:rsidRPr="00F46E74">
        <w:rPr>
          <w:rFonts w:asciiTheme="majorHAnsi" w:hAnsiTheme="majorHAnsi"/>
        </w:rPr>
        <w:t xml:space="preserve">Industrial and </w:t>
      </w:r>
      <w:r w:rsidRPr="00F46E74">
        <w:rPr>
          <w:rFonts w:asciiTheme="majorHAnsi" w:hAnsiTheme="majorHAnsi"/>
        </w:rPr>
        <w:t>Provident Act.</w:t>
      </w:r>
    </w:p>
    <w:p w:rsidR="00E50555" w:rsidRPr="00F46E74" w:rsidRDefault="00E50555" w:rsidP="004B186E">
      <w:pPr>
        <w:rPr>
          <w:rFonts w:asciiTheme="majorHAnsi" w:hAnsiTheme="majorHAnsi"/>
          <w:b/>
        </w:rPr>
      </w:pPr>
    </w:p>
    <w:p w:rsidR="004B186E" w:rsidRPr="00F46E74" w:rsidRDefault="004B186E" w:rsidP="004B186E">
      <w:pPr>
        <w:rPr>
          <w:rFonts w:asciiTheme="majorHAnsi" w:hAnsiTheme="majorHAnsi"/>
          <w:b/>
        </w:rPr>
      </w:pPr>
      <w:r w:rsidRPr="00F46E74">
        <w:rPr>
          <w:rFonts w:asciiTheme="majorHAnsi" w:hAnsiTheme="majorHAnsi"/>
          <w:b/>
        </w:rPr>
        <w:t xml:space="preserve">ADMISSIONS POLICY AND PROCEDURE </w:t>
      </w:r>
    </w:p>
    <w:p w:rsidR="004B186E" w:rsidRPr="00F46E74" w:rsidRDefault="004B186E" w:rsidP="00D61083">
      <w:pPr>
        <w:spacing w:beforeLines="1" w:before="2" w:afterLines="1" w:after="2"/>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szCs w:val="20"/>
        </w:rPr>
        <w:t xml:space="preserve">CFHA Ltd. is committed to providing </w:t>
      </w:r>
      <w:r w:rsidR="00E50555" w:rsidRPr="00F46E74">
        <w:rPr>
          <w:rFonts w:asciiTheme="majorHAnsi" w:hAnsiTheme="majorHAnsi" w:cs="Times New Roman"/>
          <w:szCs w:val="20"/>
        </w:rPr>
        <w:t xml:space="preserve">a </w:t>
      </w:r>
      <w:r w:rsidRPr="00F46E74">
        <w:rPr>
          <w:rFonts w:asciiTheme="majorHAnsi" w:hAnsiTheme="majorHAnsi" w:cs="Times New Roman"/>
          <w:szCs w:val="20"/>
        </w:rPr>
        <w:t>professional and fair admissions service in accordance with all current statutory legislation in order to identify and select those</w:t>
      </w:r>
      <w:bookmarkStart w:id="0" w:name="_GoBack"/>
      <w:bookmarkEnd w:id="0"/>
      <w:r w:rsidRPr="00F46E74">
        <w:rPr>
          <w:rFonts w:asciiTheme="majorHAnsi" w:hAnsiTheme="majorHAnsi" w:cs="Times New Roman"/>
          <w:szCs w:val="20"/>
        </w:rPr>
        <w:t xml:space="preserve"> applicants who will engage with and benefit from the support programme which will be made available to them during their one-year licensed residence at </w:t>
      </w:r>
      <w:proofErr w:type="spellStart"/>
      <w:r w:rsidRPr="00F46E74">
        <w:rPr>
          <w:rFonts w:asciiTheme="majorHAnsi" w:hAnsiTheme="majorHAnsi" w:cs="Times New Roman"/>
          <w:szCs w:val="20"/>
        </w:rPr>
        <w:t>Camfield</w:t>
      </w:r>
      <w:proofErr w:type="spellEnd"/>
      <w:r w:rsidRPr="00F46E74">
        <w:rPr>
          <w:rFonts w:asciiTheme="majorHAnsi" w:hAnsiTheme="majorHAnsi" w:cs="Times New Roman"/>
          <w:szCs w:val="20"/>
        </w:rPr>
        <w:t xml:space="preserve">. </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b/>
          <w:szCs w:val="20"/>
          <w:u w:val="single"/>
        </w:rPr>
      </w:pPr>
      <w:r w:rsidRPr="00F46E74">
        <w:rPr>
          <w:rFonts w:asciiTheme="majorHAnsi" w:hAnsiTheme="majorHAnsi" w:cs="Times New Roman"/>
          <w:b/>
          <w:szCs w:val="20"/>
          <w:u w:val="single"/>
        </w:rPr>
        <w:t>Completing an application form</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szCs w:val="20"/>
        </w:rPr>
        <w:t xml:space="preserve">We take referrals from Crawley Open House, Crawley Borough Council and other hostels and agencies. We also accept self-referrals. A form to start the admissions process may be obtained from the Manager. Applicants are advised to complete this form as fully as </w:t>
      </w:r>
      <w:proofErr w:type="gramStart"/>
      <w:r w:rsidRPr="00F46E74">
        <w:rPr>
          <w:rFonts w:asciiTheme="majorHAnsi" w:hAnsiTheme="majorHAnsi" w:cs="Times New Roman"/>
          <w:szCs w:val="20"/>
        </w:rPr>
        <w:t>possible</w:t>
      </w:r>
      <w:proofErr w:type="gramEnd"/>
      <w:r w:rsidR="00E50555" w:rsidRPr="00F46E74">
        <w:rPr>
          <w:rFonts w:asciiTheme="majorHAnsi" w:hAnsiTheme="majorHAnsi" w:cs="Times New Roman"/>
          <w:szCs w:val="20"/>
        </w:rPr>
        <w:t xml:space="preserve"> and to avoid including false statements. If false statements are later discovered, an offer of a place will be withdrawn, or if a resident is already at </w:t>
      </w:r>
      <w:proofErr w:type="spellStart"/>
      <w:r w:rsidR="00E50555" w:rsidRPr="00F46E74">
        <w:rPr>
          <w:rFonts w:asciiTheme="majorHAnsi" w:hAnsiTheme="majorHAnsi" w:cs="Times New Roman"/>
          <w:szCs w:val="20"/>
        </w:rPr>
        <w:t>Camfield</w:t>
      </w:r>
      <w:proofErr w:type="spellEnd"/>
      <w:r w:rsidR="00E50555" w:rsidRPr="00F46E74">
        <w:rPr>
          <w:rFonts w:asciiTheme="majorHAnsi" w:hAnsiTheme="majorHAnsi" w:cs="Times New Roman"/>
          <w:szCs w:val="20"/>
        </w:rPr>
        <w:t xml:space="preserve">, the licence will be summarily terminated. </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szCs w:val="20"/>
        </w:rPr>
        <w:t>Applicants will be initially assessed on the application form and, if successful, will be placed on the waiting list and invited for interview when a place is available. A decision will be provided in writing.</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b/>
          <w:szCs w:val="20"/>
          <w:u w:val="single"/>
        </w:rPr>
        <w:t xml:space="preserve">Interview </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szCs w:val="20"/>
        </w:rPr>
        <w:t xml:space="preserve">The interview will be conducted by the manager and support staff and last for about one hour. The interview is designed to get to know potential residents better, to explain the licence agreement and the rules of </w:t>
      </w:r>
      <w:proofErr w:type="spellStart"/>
      <w:r w:rsidRPr="00F46E74">
        <w:rPr>
          <w:rFonts w:asciiTheme="majorHAnsi" w:hAnsiTheme="majorHAnsi" w:cs="Times New Roman"/>
          <w:szCs w:val="20"/>
        </w:rPr>
        <w:t>Camfield</w:t>
      </w:r>
      <w:proofErr w:type="spellEnd"/>
      <w:r w:rsidRPr="00F46E74">
        <w:rPr>
          <w:rFonts w:asciiTheme="majorHAnsi" w:hAnsiTheme="majorHAnsi" w:cs="Times New Roman"/>
          <w:szCs w:val="20"/>
        </w:rPr>
        <w:t xml:space="preserve">, and </w:t>
      </w:r>
      <w:r w:rsidR="00E50555" w:rsidRPr="00F46E74">
        <w:rPr>
          <w:rFonts w:asciiTheme="majorHAnsi" w:hAnsiTheme="majorHAnsi" w:cs="Times New Roman"/>
          <w:szCs w:val="20"/>
        </w:rPr>
        <w:t xml:space="preserve">for the potential resident </w:t>
      </w:r>
      <w:r w:rsidRPr="00F46E74">
        <w:rPr>
          <w:rFonts w:asciiTheme="majorHAnsi" w:hAnsiTheme="majorHAnsi" w:cs="Times New Roman"/>
          <w:szCs w:val="20"/>
        </w:rPr>
        <w:t>to be shown round the building.</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szCs w:val="20"/>
        </w:rPr>
        <w:t xml:space="preserve">Following the interview, a second evaluation will take place. The decision whether to offer a place will then be made in writing. </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b/>
          <w:szCs w:val="20"/>
          <w:u w:val="single"/>
        </w:rPr>
        <w:t>Making a decision</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szCs w:val="20"/>
        </w:rPr>
        <w:t xml:space="preserve">All decisions made during the admissions process are subject to consideration </w:t>
      </w:r>
      <w:proofErr w:type="gramStart"/>
      <w:r w:rsidRPr="00F46E74">
        <w:rPr>
          <w:rFonts w:asciiTheme="majorHAnsi" w:hAnsiTheme="majorHAnsi" w:cs="Times New Roman"/>
          <w:szCs w:val="20"/>
        </w:rPr>
        <w:t>of  CFHA’s</w:t>
      </w:r>
      <w:proofErr w:type="gramEnd"/>
      <w:r w:rsidRPr="00F46E74">
        <w:rPr>
          <w:rFonts w:asciiTheme="majorHAnsi" w:hAnsiTheme="majorHAnsi" w:cs="Times New Roman"/>
          <w:szCs w:val="20"/>
        </w:rPr>
        <w:t xml:space="preserve"> duty to safeguard the health and safety of their staff and residents. The Management therefore reserve the right to reject those applicants who, in their judgement, constitute a potential threat to the security of the house.    </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szCs w:val="20"/>
        </w:rPr>
        <w:t xml:space="preserve">Applicants will be required to disclose their criminal records. CFHA will consider applicants with criminal records and will take all relevant factors, including the type of offence and the time that has elapsed since it was committed, into account.   However, there may be some </w:t>
      </w:r>
      <w:r w:rsidRPr="00F46E74">
        <w:rPr>
          <w:rFonts w:asciiTheme="majorHAnsi" w:hAnsiTheme="majorHAnsi" w:cs="Times New Roman"/>
          <w:szCs w:val="20"/>
        </w:rPr>
        <w:lastRenderedPageBreak/>
        <w:t>circumstances in which CFHA may find it necessary to refuse to consider applicants with con</w:t>
      </w:r>
      <w:r w:rsidR="00E50555" w:rsidRPr="00F46E74">
        <w:rPr>
          <w:rFonts w:asciiTheme="majorHAnsi" w:hAnsiTheme="majorHAnsi" w:cs="Times New Roman"/>
          <w:szCs w:val="20"/>
        </w:rPr>
        <w:t xml:space="preserve">victions for violent, sexual, </w:t>
      </w:r>
      <w:r w:rsidRPr="00F46E74">
        <w:rPr>
          <w:rFonts w:asciiTheme="majorHAnsi" w:hAnsiTheme="majorHAnsi" w:cs="Times New Roman"/>
          <w:szCs w:val="20"/>
        </w:rPr>
        <w:t>racial</w:t>
      </w:r>
      <w:r w:rsidR="00E50555" w:rsidRPr="00F46E74">
        <w:rPr>
          <w:rFonts w:asciiTheme="majorHAnsi" w:hAnsiTheme="majorHAnsi" w:cs="Times New Roman"/>
          <w:szCs w:val="20"/>
        </w:rPr>
        <w:t xml:space="preserve"> or hate </w:t>
      </w:r>
      <w:r w:rsidR="009140C1">
        <w:rPr>
          <w:rFonts w:asciiTheme="majorHAnsi" w:hAnsiTheme="majorHAnsi" w:cs="Times New Roman"/>
          <w:szCs w:val="20"/>
        </w:rPr>
        <w:t>offences, or for arson.</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szCs w:val="20"/>
        </w:rPr>
        <w:t xml:space="preserve">Great care is taken throughout this admissions process to ensure that all </w:t>
      </w:r>
      <w:proofErr w:type="gramStart"/>
      <w:r w:rsidRPr="00F46E74">
        <w:rPr>
          <w:rFonts w:asciiTheme="majorHAnsi" w:hAnsiTheme="majorHAnsi" w:cs="Times New Roman"/>
          <w:szCs w:val="20"/>
        </w:rPr>
        <w:t>decisions,</w:t>
      </w:r>
      <w:proofErr w:type="gramEnd"/>
      <w:r w:rsidRPr="00F46E74">
        <w:rPr>
          <w:rFonts w:asciiTheme="majorHAnsi" w:hAnsiTheme="majorHAnsi" w:cs="Times New Roman"/>
          <w:szCs w:val="20"/>
        </w:rPr>
        <w:t xml:space="preserve"> are fair reasonable and unbiased, they should be considered as final.</w:t>
      </w:r>
    </w:p>
    <w:p w:rsidR="004B186E" w:rsidRPr="00F46E74" w:rsidRDefault="004B186E" w:rsidP="00D61083">
      <w:pPr>
        <w:spacing w:beforeLines="1" w:before="2" w:afterLines="1" w:after="2"/>
        <w:jc w:val="both"/>
        <w:rPr>
          <w:rFonts w:asciiTheme="majorHAnsi" w:hAnsiTheme="majorHAnsi" w:cs="Times New Roman"/>
          <w:szCs w:val="20"/>
        </w:rPr>
      </w:pPr>
    </w:p>
    <w:p w:rsidR="004B186E" w:rsidRPr="00F46E74" w:rsidRDefault="004B186E" w:rsidP="00D61083">
      <w:pPr>
        <w:spacing w:beforeLines="1" w:before="2" w:afterLines="1" w:after="2"/>
        <w:jc w:val="both"/>
        <w:rPr>
          <w:rFonts w:asciiTheme="majorHAnsi" w:hAnsiTheme="majorHAnsi" w:cs="Times New Roman"/>
          <w:szCs w:val="20"/>
        </w:rPr>
      </w:pPr>
      <w:r w:rsidRPr="00F46E74">
        <w:rPr>
          <w:rFonts w:asciiTheme="majorHAnsi" w:hAnsiTheme="majorHAnsi" w:cs="Times New Roman"/>
          <w:szCs w:val="20"/>
        </w:rPr>
        <w:t>CFHA will notify all applicants (and/or their referring bodies if appropriate) of their decision in writing although they reserve the right not to divulge the grounds on which they have based their decision.</w:t>
      </w:r>
    </w:p>
    <w:p w:rsidR="004B186E" w:rsidRPr="00F46E74" w:rsidRDefault="004B186E" w:rsidP="00F46E74">
      <w:pPr>
        <w:jc w:val="both"/>
        <w:rPr>
          <w:rFonts w:asciiTheme="majorHAnsi" w:hAnsiTheme="majorHAnsi"/>
        </w:rPr>
      </w:pPr>
    </w:p>
    <w:p w:rsidR="004C636E" w:rsidRPr="00F46E74" w:rsidRDefault="004C636E" w:rsidP="00F46E74">
      <w:pPr>
        <w:jc w:val="both"/>
        <w:rPr>
          <w:rFonts w:asciiTheme="majorHAnsi" w:hAnsiTheme="majorHAnsi"/>
        </w:rPr>
      </w:pPr>
    </w:p>
    <w:p w:rsidR="004C636E" w:rsidRPr="00F46E74" w:rsidRDefault="004C636E" w:rsidP="00F46E74">
      <w:pPr>
        <w:jc w:val="both"/>
        <w:rPr>
          <w:rFonts w:asciiTheme="majorHAnsi" w:hAnsiTheme="majorHAnsi"/>
        </w:rPr>
      </w:pPr>
    </w:p>
    <w:p w:rsidR="00F46E74" w:rsidRDefault="00F46E74" w:rsidP="00F46E74">
      <w:pPr>
        <w:jc w:val="both"/>
        <w:rPr>
          <w:rFonts w:asciiTheme="majorHAnsi" w:hAnsiTheme="majorHAnsi"/>
        </w:rPr>
      </w:pPr>
    </w:p>
    <w:p w:rsidR="00F46E74" w:rsidRDefault="00F46E74" w:rsidP="00F46E74">
      <w:pPr>
        <w:jc w:val="both"/>
        <w:rPr>
          <w:rFonts w:asciiTheme="majorHAnsi" w:hAnsiTheme="majorHAnsi"/>
        </w:rPr>
      </w:pPr>
    </w:p>
    <w:p w:rsidR="004C636E" w:rsidRPr="00F46E74" w:rsidRDefault="004C636E" w:rsidP="00F46E74">
      <w:pPr>
        <w:jc w:val="both"/>
        <w:rPr>
          <w:rFonts w:asciiTheme="majorHAnsi" w:hAnsiTheme="majorHAnsi"/>
        </w:rPr>
      </w:pPr>
    </w:p>
    <w:p w:rsidR="004F39C7" w:rsidRPr="00F46E74" w:rsidRDefault="004F39C7" w:rsidP="00F46E74">
      <w:pPr>
        <w:jc w:val="both"/>
        <w:rPr>
          <w:rFonts w:asciiTheme="majorHAnsi" w:hAnsiTheme="majorHAnsi"/>
        </w:rPr>
      </w:pPr>
    </w:p>
    <w:p w:rsidR="00F46E74" w:rsidRDefault="00F47A63" w:rsidP="00F46E74">
      <w:pPr>
        <w:jc w:val="both"/>
        <w:rPr>
          <w:rFonts w:asciiTheme="majorHAnsi" w:hAnsiTheme="majorHAnsi"/>
        </w:rPr>
      </w:pPr>
      <w:r w:rsidRPr="00F46E74">
        <w:rPr>
          <w:rFonts w:asciiTheme="majorHAnsi" w:hAnsiTheme="majorHAnsi"/>
        </w:rPr>
        <w:t>General Management Committ</w:t>
      </w:r>
      <w:r w:rsidR="00F46E74">
        <w:rPr>
          <w:rFonts w:asciiTheme="majorHAnsi" w:hAnsiTheme="majorHAnsi"/>
        </w:rPr>
        <w:t>ee</w:t>
      </w:r>
    </w:p>
    <w:p w:rsidR="004F39C7" w:rsidRPr="00F46E74" w:rsidRDefault="004F39C7" w:rsidP="00F46E74">
      <w:pPr>
        <w:jc w:val="both"/>
        <w:rPr>
          <w:rFonts w:asciiTheme="majorHAnsi" w:hAnsiTheme="majorHAnsi"/>
        </w:rPr>
      </w:pPr>
      <w:r w:rsidRPr="00F46E74">
        <w:rPr>
          <w:rFonts w:asciiTheme="majorHAnsi" w:hAnsiTheme="majorHAnsi"/>
        </w:rPr>
        <w:t>Crawley Friends Housing Association Limited</w:t>
      </w:r>
    </w:p>
    <w:p w:rsidR="007B67A0" w:rsidRPr="00F46E74" w:rsidRDefault="004F39C7" w:rsidP="00F46E74">
      <w:pPr>
        <w:jc w:val="both"/>
        <w:rPr>
          <w:rFonts w:asciiTheme="majorHAnsi" w:hAnsiTheme="majorHAnsi"/>
        </w:rPr>
      </w:pPr>
      <w:r w:rsidRPr="00F46E74">
        <w:rPr>
          <w:rFonts w:asciiTheme="majorHAnsi" w:hAnsiTheme="majorHAnsi"/>
        </w:rPr>
        <w:t>August 2016</w:t>
      </w:r>
    </w:p>
    <w:sectPr w:rsidR="007B67A0" w:rsidRPr="00F46E74" w:rsidSect="007B67A0">
      <w:pgSz w:w="11900" w:h="16840"/>
      <w:pgMar w:top="1797" w:right="1440" w:bottom="1797" w:left="1440" w:header="720" w:footer="862"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53311"/>
    <w:multiLevelType w:val="hybridMultilevel"/>
    <w:tmpl w:val="0B4830B4"/>
    <w:lvl w:ilvl="0" w:tplc="8D043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B338D"/>
    <w:multiLevelType w:val="hybridMultilevel"/>
    <w:tmpl w:val="E06C4B18"/>
    <w:lvl w:ilvl="0" w:tplc="6B924C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7A717D"/>
    <w:multiLevelType w:val="hybridMultilevel"/>
    <w:tmpl w:val="0E844E2A"/>
    <w:lvl w:ilvl="0" w:tplc="BA4229C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D23C7"/>
    <w:multiLevelType w:val="hybridMultilevel"/>
    <w:tmpl w:val="743A3C56"/>
    <w:lvl w:ilvl="0" w:tplc="80D6F19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092A447B"/>
    <w:multiLevelType w:val="hybridMultilevel"/>
    <w:tmpl w:val="41AE239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09DD12BA"/>
    <w:multiLevelType w:val="hybridMultilevel"/>
    <w:tmpl w:val="D92AE12A"/>
    <w:lvl w:ilvl="0" w:tplc="9482BB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A7D121F"/>
    <w:multiLevelType w:val="hybridMultilevel"/>
    <w:tmpl w:val="E22EB7BC"/>
    <w:lvl w:ilvl="0" w:tplc="BA4229C0">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80323E"/>
    <w:multiLevelType w:val="multilevel"/>
    <w:tmpl w:val="96223B5C"/>
    <w:lvl w:ilvl="0">
      <w:start w:val="1"/>
      <w:numFmt w:val="bullet"/>
      <w:lvlText w:val=""/>
      <w:lvlJc w:val="left"/>
      <w:pPr>
        <w:tabs>
          <w:tab w:val="num" w:pos="1026"/>
        </w:tabs>
        <w:ind w:left="1026" w:hanging="360"/>
      </w:pPr>
      <w:rPr>
        <w:rFonts w:ascii="Symbol" w:hAnsi="Symbol" w:hint="default"/>
        <w:sz w:val="20"/>
      </w:rPr>
    </w:lvl>
    <w:lvl w:ilvl="1" w:tentative="1">
      <w:start w:val="1"/>
      <w:numFmt w:val="bullet"/>
      <w:lvlText w:val="o"/>
      <w:lvlJc w:val="left"/>
      <w:pPr>
        <w:tabs>
          <w:tab w:val="num" w:pos="1746"/>
        </w:tabs>
        <w:ind w:left="1746" w:hanging="360"/>
      </w:pPr>
      <w:rPr>
        <w:rFonts w:ascii="Courier New" w:hAnsi="Courier New"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11">
    <w:nsid w:val="150C2FA9"/>
    <w:multiLevelType w:val="multilevel"/>
    <w:tmpl w:val="4B86B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624591"/>
    <w:multiLevelType w:val="hybridMultilevel"/>
    <w:tmpl w:val="25EC16BC"/>
    <w:lvl w:ilvl="0" w:tplc="6B924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D5D11"/>
    <w:multiLevelType w:val="hybridMultilevel"/>
    <w:tmpl w:val="0B4830B4"/>
    <w:lvl w:ilvl="0" w:tplc="8D043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617E6"/>
    <w:multiLevelType w:val="hybridMultilevel"/>
    <w:tmpl w:val="0FEE8652"/>
    <w:lvl w:ilvl="0" w:tplc="8D043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9284C"/>
    <w:multiLevelType w:val="hybridMultilevel"/>
    <w:tmpl w:val="B8FA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74416"/>
    <w:multiLevelType w:val="hybridMultilevel"/>
    <w:tmpl w:val="A4749D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260655"/>
    <w:multiLevelType w:val="hybridMultilevel"/>
    <w:tmpl w:val="0ACC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681A7B"/>
    <w:multiLevelType w:val="hybridMultilevel"/>
    <w:tmpl w:val="4B86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90AD9"/>
    <w:multiLevelType w:val="hybridMultilevel"/>
    <w:tmpl w:val="0BBEDA24"/>
    <w:lvl w:ilvl="0" w:tplc="08090015">
      <w:start w:val="1"/>
      <w:numFmt w:val="upperLetter"/>
      <w:lvlText w:val="%1."/>
      <w:lvlJc w:val="left"/>
      <w:pPr>
        <w:ind w:left="644" w:hanging="360"/>
      </w:pPr>
      <w:rPr>
        <w:rFonts w:hint="default"/>
      </w:rPr>
    </w:lvl>
    <w:lvl w:ilvl="1" w:tplc="08090019">
      <w:start w:val="1"/>
      <w:numFmt w:val="lowerLetter"/>
      <w:lvlText w:val="%2."/>
      <w:lvlJc w:val="left"/>
      <w:pPr>
        <w:ind w:left="502" w:hanging="360"/>
      </w:pPr>
    </w:lvl>
    <w:lvl w:ilvl="2" w:tplc="0809001B">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0">
    <w:nsid w:val="30FF6EF3"/>
    <w:multiLevelType w:val="hybridMultilevel"/>
    <w:tmpl w:val="61D25286"/>
    <w:lvl w:ilvl="0" w:tplc="6B924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10433"/>
    <w:multiLevelType w:val="multilevel"/>
    <w:tmpl w:val="E06C4B1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46251EB"/>
    <w:multiLevelType w:val="hybridMultilevel"/>
    <w:tmpl w:val="E444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76750"/>
    <w:multiLevelType w:val="hybridMultilevel"/>
    <w:tmpl w:val="25EC4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B8192B"/>
    <w:multiLevelType w:val="hybridMultilevel"/>
    <w:tmpl w:val="EF7A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60C6C"/>
    <w:multiLevelType w:val="hybridMultilevel"/>
    <w:tmpl w:val="95AA0B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413677D3"/>
    <w:multiLevelType w:val="hybridMultilevel"/>
    <w:tmpl w:val="77FA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F0C4E"/>
    <w:multiLevelType w:val="hybridMultilevel"/>
    <w:tmpl w:val="A214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227D7D"/>
    <w:multiLevelType w:val="hybridMultilevel"/>
    <w:tmpl w:val="60A2B638"/>
    <w:lvl w:ilvl="0" w:tplc="02386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305CD9"/>
    <w:multiLevelType w:val="hybridMultilevel"/>
    <w:tmpl w:val="82A8D5FA"/>
    <w:lvl w:ilvl="0" w:tplc="6B924C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945BF3"/>
    <w:multiLevelType w:val="hybridMultilevel"/>
    <w:tmpl w:val="68166A80"/>
    <w:lvl w:ilvl="0" w:tplc="8D043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117B8"/>
    <w:multiLevelType w:val="hybridMultilevel"/>
    <w:tmpl w:val="F274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C25861"/>
    <w:multiLevelType w:val="hybridMultilevel"/>
    <w:tmpl w:val="1CF07036"/>
    <w:lvl w:ilvl="0" w:tplc="88C0D0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3"/>
  </w:num>
  <w:num w:numId="3">
    <w:abstractNumId w:val="3"/>
  </w:num>
  <w:num w:numId="4">
    <w:abstractNumId w:val="10"/>
  </w:num>
  <w:num w:numId="5">
    <w:abstractNumId w:val="26"/>
  </w:num>
  <w:num w:numId="6">
    <w:abstractNumId w:val="5"/>
  </w:num>
  <w:num w:numId="7">
    <w:abstractNumId w:val="9"/>
  </w:num>
  <w:num w:numId="8">
    <w:abstractNumId w:val="0"/>
  </w:num>
  <w:num w:numId="9">
    <w:abstractNumId w:val="1"/>
  </w:num>
  <w:num w:numId="10">
    <w:abstractNumId w:val="2"/>
  </w:num>
  <w:num w:numId="11">
    <w:abstractNumId w:val="16"/>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8"/>
  </w:num>
  <w:num w:numId="18">
    <w:abstractNumId w:val="25"/>
  </w:num>
  <w:num w:numId="19">
    <w:abstractNumId w:val="31"/>
  </w:num>
  <w:num w:numId="20">
    <w:abstractNumId w:val="27"/>
  </w:num>
  <w:num w:numId="21">
    <w:abstractNumId w:val="17"/>
  </w:num>
  <w:num w:numId="22">
    <w:abstractNumId w:val="19"/>
  </w:num>
  <w:num w:numId="23">
    <w:abstractNumId w:val="6"/>
  </w:num>
  <w:num w:numId="24">
    <w:abstractNumId w:val="30"/>
  </w:num>
  <w:num w:numId="25">
    <w:abstractNumId w:val="14"/>
  </w:num>
  <w:num w:numId="26">
    <w:abstractNumId w:val="23"/>
  </w:num>
  <w:num w:numId="27">
    <w:abstractNumId w:val="24"/>
  </w:num>
  <w:num w:numId="28">
    <w:abstractNumId w:val="18"/>
  </w:num>
  <w:num w:numId="29">
    <w:abstractNumId w:val="11"/>
  </w:num>
  <w:num w:numId="30">
    <w:abstractNumId w:val="12"/>
  </w:num>
  <w:num w:numId="31">
    <w:abstractNumId w:val="4"/>
  </w:num>
  <w:num w:numId="32">
    <w:abstractNumId w:val="20"/>
  </w:num>
  <w:num w:numId="33">
    <w:abstractNumId w:val="21"/>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186E"/>
    <w:rsid w:val="003D7D6D"/>
    <w:rsid w:val="004B186E"/>
    <w:rsid w:val="004C636E"/>
    <w:rsid w:val="004F39C7"/>
    <w:rsid w:val="007B67A0"/>
    <w:rsid w:val="009140C1"/>
    <w:rsid w:val="00C75BCD"/>
    <w:rsid w:val="00D61083"/>
    <w:rsid w:val="00E50555"/>
    <w:rsid w:val="00E83589"/>
    <w:rsid w:val="00F46E74"/>
    <w:rsid w:val="00F47A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6E"/>
    <w:rPr>
      <w:lang w:val="en-GB"/>
    </w:rPr>
  </w:style>
  <w:style w:type="paragraph" w:styleId="Heading2">
    <w:name w:val="heading 2"/>
    <w:basedOn w:val="Normal"/>
    <w:link w:val="Heading2Char"/>
    <w:uiPriority w:val="9"/>
    <w:rsid w:val="004B186E"/>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86E"/>
    <w:rPr>
      <w:rFonts w:ascii="Times" w:hAnsi="Times"/>
      <w:b/>
      <w:sz w:val="36"/>
      <w:szCs w:val="20"/>
      <w:lang w:val="en-GB"/>
    </w:rPr>
  </w:style>
  <w:style w:type="paragraph" w:styleId="ListParagraph">
    <w:name w:val="List Paragraph"/>
    <w:basedOn w:val="Normal"/>
    <w:uiPriority w:val="34"/>
    <w:qFormat/>
    <w:rsid w:val="004B186E"/>
    <w:pPr>
      <w:ind w:left="720"/>
      <w:contextualSpacing/>
    </w:pPr>
  </w:style>
  <w:style w:type="paragraph" w:styleId="Footer">
    <w:name w:val="footer"/>
    <w:basedOn w:val="Normal"/>
    <w:link w:val="FooterChar"/>
    <w:uiPriority w:val="99"/>
    <w:unhideWhenUsed/>
    <w:rsid w:val="004B186E"/>
    <w:pPr>
      <w:tabs>
        <w:tab w:val="center" w:pos="4320"/>
        <w:tab w:val="right" w:pos="8640"/>
      </w:tabs>
    </w:pPr>
  </w:style>
  <w:style w:type="character" w:customStyle="1" w:styleId="FooterChar">
    <w:name w:val="Footer Char"/>
    <w:basedOn w:val="DefaultParagraphFont"/>
    <w:link w:val="Footer"/>
    <w:uiPriority w:val="99"/>
    <w:rsid w:val="004B186E"/>
    <w:rPr>
      <w:lang w:val="en-GB"/>
    </w:rPr>
  </w:style>
  <w:style w:type="paragraph" w:styleId="NormalWeb">
    <w:name w:val="Normal (Web)"/>
    <w:basedOn w:val="Normal"/>
    <w:uiPriority w:val="99"/>
    <w:rsid w:val="004B186E"/>
    <w:pPr>
      <w:spacing w:beforeLines="1" w:afterLines="1"/>
    </w:pPr>
    <w:rPr>
      <w:rFonts w:ascii="Times" w:hAnsi="Times" w:cs="Times New Roman"/>
      <w:sz w:val="20"/>
      <w:szCs w:val="20"/>
    </w:rPr>
  </w:style>
  <w:style w:type="table" w:styleId="TableGrid">
    <w:name w:val="Table Grid"/>
    <w:basedOn w:val="TableNormal"/>
    <w:uiPriority w:val="59"/>
    <w:rsid w:val="004B18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B186E"/>
    <w:rPr>
      <w:lang w:val="en-GB"/>
    </w:rPr>
  </w:style>
  <w:style w:type="paragraph" w:styleId="BalloonText">
    <w:name w:val="Balloon Text"/>
    <w:basedOn w:val="Normal"/>
    <w:link w:val="BalloonTextChar"/>
    <w:uiPriority w:val="99"/>
    <w:semiHidden/>
    <w:unhideWhenUsed/>
    <w:rsid w:val="004B186E"/>
    <w:rPr>
      <w:rFonts w:ascii="Tahoma" w:hAnsi="Tahoma" w:cs="Tahoma"/>
      <w:sz w:val="16"/>
      <w:szCs w:val="16"/>
    </w:rPr>
  </w:style>
  <w:style w:type="character" w:customStyle="1" w:styleId="BalloonTextChar">
    <w:name w:val="Balloon Text Char"/>
    <w:basedOn w:val="DefaultParagraphFont"/>
    <w:link w:val="BalloonText"/>
    <w:uiPriority w:val="99"/>
    <w:semiHidden/>
    <w:rsid w:val="004B186E"/>
    <w:rPr>
      <w:rFonts w:ascii="Tahoma" w:hAnsi="Tahoma" w:cs="Tahoma"/>
      <w:sz w:val="16"/>
      <w:szCs w:val="16"/>
      <w:lang w:val="en-GB"/>
    </w:rPr>
  </w:style>
  <w:style w:type="character" w:styleId="CommentReference">
    <w:name w:val="annotation reference"/>
    <w:basedOn w:val="DefaultParagraphFont"/>
    <w:uiPriority w:val="99"/>
    <w:semiHidden/>
    <w:unhideWhenUsed/>
    <w:rsid w:val="004B186E"/>
    <w:rPr>
      <w:sz w:val="16"/>
      <w:szCs w:val="16"/>
    </w:rPr>
  </w:style>
  <w:style w:type="paragraph" w:styleId="CommentText">
    <w:name w:val="annotation text"/>
    <w:basedOn w:val="Normal"/>
    <w:link w:val="CommentTextChar"/>
    <w:uiPriority w:val="99"/>
    <w:unhideWhenUsed/>
    <w:rsid w:val="004B186E"/>
    <w:rPr>
      <w:sz w:val="20"/>
      <w:szCs w:val="20"/>
    </w:rPr>
  </w:style>
  <w:style w:type="character" w:customStyle="1" w:styleId="CommentTextChar">
    <w:name w:val="Comment Text Char"/>
    <w:basedOn w:val="DefaultParagraphFont"/>
    <w:link w:val="CommentText"/>
    <w:uiPriority w:val="99"/>
    <w:rsid w:val="004B186E"/>
    <w:rPr>
      <w:sz w:val="20"/>
      <w:szCs w:val="20"/>
      <w:lang w:val="en-GB"/>
    </w:rPr>
  </w:style>
  <w:style w:type="paragraph" w:styleId="CommentSubject">
    <w:name w:val="annotation subject"/>
    <w:basedOn w:val="CommentText"/>
    <w:next w:val="CommentText"/>
    <w:link w:val="CommentSubjectChar"/>
    <w:uiPriority w:val="99"/>
    <w:semiHidden/>
    <w:unhideWhenUsed/>
    <w:rsid w:val="004B186E"/>
    <w:rPr>
      <w:b/>
      <w:bCs/>
    </w:rPr>
  </w:style>
  <w:style w:type="character" w:customStyle="1" w:styleId="CommentSubjectChar">
    <w:name w:val="Comment Subject Char"/>
    <w:basedOn w:val="CommentTextChar"/>
    <w:link w:val="CommentSubject"/>
    <w:uiPriority w:val="99"/>
    <w:semiHidden/>
    <w:rsid w:val="004B186E"/>
    <w:rPr>
      <w:b/>
      <w:bCs/>
      <w:sz w:val="20"/>
      <w:szCs w:val="20"/>
      <w:lang w:val="en-GB"/>
    </w:rPr>
  </w:style>
  <w:style w:type="paragraph" w:styleId="Header">
    <w:name w:val="header"/>
    <w:basedOn w:val="Normal"/>
    <w:link w:val="HeaderChar"/>
    <w:uiPriority w:val="99"/>
    <w:unhideWhenUsed/>
    <w:rsid w:val="004B186E"/>
    <w:pPr>
      <w:tabs>
        <w:tab w:val="center" w:pos="4513"/>
        <w:tab w:val="right" w:pos="9026"/>
      </w:tabs>
    </w:pPr>
  </w:style>
  <w:style w:type="character" w:customStyle="1" w:styleId="HeaderChar">
    <w:name w:val="Header Char"/>
    <w:basedOn w:val="DefaultParagraphFont"/>
    <w:link w:val="Header"/>
    <w:uiPriority w:val="99"/>
    <w:rsid w:val="004B186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Frost</dc:creator>
  <cp:lastModifiedBy>Jenny Liquorish</cp:lastModifiedBy>
  <cp:revision>3</cp:revision>
  <cp:lastPrinted>2017-03-21T11:31:00Z</cp:lastPrinted>
  <dcterms:created xsi:type="dcterms:W3CDTF">2016-08-30T14:32:00Z</dcterms:created>
  <dcterms:modified xsi:type="dcterms:W3CDTF">2017-03-21T11:38:00Z</dcterms:modified>
</cp:coreProperties>
</file>